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color w:val="548dd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548dd4"/>
          <w:sz w:val="28"/>
          <w:szCs w:val="28"/>
          <w:rtl w:val="0"/>
        </w:rPr>
        <w:t xml:space="preserve">AJET Peer Support Group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  <w:rtl w:val="0"/>
        </w:rPr>
        <w:t xml:space="preserve">Volunteer Application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  <w:rtl w:val="0"/>
        </w:rPr>
        <w:t xml:space="preserve">Part I: General Information and Availability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6318"/>
        <w:tblGridChange w:id="0">
          <w:tblGrid>
            <w:gridCol w:w="3258"/>
            <w:gridCol w:w="6318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6318"/>
        <w:tblGridChange w:id="0">
          <w:tblGrid>
            <w:gridCol w:w="3258"/>
            <w:gridCol w:w="6318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Prefecture or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Designated City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6318"/>
        <w:tblGridChange w:id="0">
          <w:tblGrid>
            <w:gridCol w:w="3258"/>
            <w:gridCol w:w="6318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JET Title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(check all that apply)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ALT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CIR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SEA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PA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6318"/>
        <w:tblGridChange w:id="0">
          <w:tblGrid>
            <w:gridCol w:w="3258"/>
            <w:gridCol w:w="6318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Year on JET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superscript"/>
                <w:rtl w:val="0"/>
              </w:rPr>
              <w:t xml:space="preserve">st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        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        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6318"/>
        <w:tblGridChange w:id="0">
          <w:tblGrid>
            <w:gridCol w:w="3258"/>
            <w:gridCol w:w="6318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E-mail Address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6318"/>
        <w:tblGridChange w:id="0">
          <w:tblGrid>
            <w:gridCol w:w="3258"/>
            <w:gridCol w:w="6318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6318"/>
        <w:tblGridChange w:id="0">
          <w:tblGrid>
            <w:gridCol w:w="3258"/>
            <w:gridCol w:w="6318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Do you have your own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Internet connection? 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     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 YES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NO, I share with a neighbor.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Please indicate the days of the week that you 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rtl w:val="0"/>
              </w:rPr>
              <w:t xml:space="preserve">typically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 available. Variation in schedule is expected, but you may check “varies frequently” if there is little consistency in your availability.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Sunday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Monday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Tuesday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Wednesday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Thursday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Friday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Saturday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Varies Frequently</w:t>
            </w:r>
          </w:p>
        </w:tc>
      </w:tr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New volunteers typically begin working with PSG in July. While PSG work is volunteer-based, we request that volunteers try to work 2-3 shifts a month for at least one year. Do you think you will be able to make this commitment?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YES     </w:t>
            </w: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548dd4"/>
          <w:sz w:val="28"/>
          <w:szCs w:val="28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  <w:rtl w:val="0"/>
        </w:rPr>
        <w:t xml:space="preserve">Part II: Interest and Experience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Do you have any experience or training that you feel would be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an asset as a PSG Volunteer?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Some examples may include: support hotline work, peer counseling or mediation, RA or House Fellow and Prefectural Advisor training, among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rtl w:val="0"/>
              </w:rPr>
              <w:t xml:space="preserve">many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others. Think broadly here – we do!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Why are you interested in becoming a PSG Volunteer?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  <w:rtl w:val="0"/>
        </w:rPr>
        <w:t xml:space="preserve">Part III: Call Scenarios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Please consider the following scenarios and explain how you would approach them.</w:t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I. A caller asks you if she should renew for a second year or not.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rtl w:val="0"/>
              </w:rPr>
              <w:t xml:space="preserve">II. A caller says that he is having suicidal thoughts.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rtl w:val="0"/>
        </w:rPr>
        <w:t xml:space="preserve">Please return this application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8dd4"/>
          <w:sz w:val="24"/>
          <w:szCs w:val="24"/>
          <w:u w:val="single"/>
          <w:shd w:fill="auto" w:val="clear"/>
          <w:rtl w:val="0"/>
        </w:rPr>
        <w:t xml:space="preserve">February 29th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rtl w:val="0"/>
        </w:rPr>
        <w:t xml:space="preserve"> to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f497d"/>
            <w:sz w:val="24"/>
            <w:szCs w:val="24"/>
            <w:u w:val="single"/>
            <w:shd w:fill="auto" w:val="clear"/>
            <w:rtl w:val="0"/>
          </w:rPr>
          <w:t xml:space="preserve">psgapplications@gmail.com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rtl w:val="0"/>
        </w:rPr>
        <w:t xml:space="preserve">Any questions may be directed to the PSG Volunteer Coordinator at the same address.</w:t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sgapplic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